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9BC6BA">
      <w:pPr>
        <w:jc w:val="left"/>
        <w:rPr>
          <w:rFonts w:hint="eastAsia" w:ascii="Times New Roman" w:hAnsi="Times New Roman" w:eastAsia="黑体" w:cs="Times New Roman"/>
          <w:color w:val="00000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color w:val="000000"/>
          <w:sz w:val="32"/>
          <w:szCs w:val="32"/>
        </w:rPr>
        <w:t>附件</w:t>
      </w:r>
      <w:r>
        <w:rPr>
          <w:rFonts w:hint="eastAsia" w:eastAsia="黑体" w:cs="Times New Roman"/>
          <w:color w:val="000000"/>
          <w:sz w:val="32"/>
          <w:szCs w:val="32"/>
          <w:lang w:val="en-US" w:eastAsia="zh-CN"/>
        </w:rPr>
        <w:t>2</w:t>
      </w:r>
    </w:p>
    <w:p w14:paraId="2C2395F4">
      <w:pPr>
        <w:widowControl/>
        <w:kinsoku w:val="0"/>
        <w:autoSpaceDE w:val="0"/>
        <w:autoSpaceDN w:val="0"/>
        <w:adjustRightInd w:val="0"/>
        <w:snapToGrid w:val="0"/>
        <w:spacing w:before="60" w:line="360" w:lineRule="auto"/>
        <w:ind w:left="2841"/>
        <w:jc w:val="left"/>
        <w:textAlignment w:val="baseline"/>
        <w:rPr>
          <w:rFonts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</w:pPr>
      <w:bookmarkStart w:id="2" w:name="_GoBack"/>
      <w:r>
        <w:rPr>
          <w:rFonts w:ascii="Times New Roman" w:hAnsi="Times New Roman" w:eastAsia="方正小标宋简体" w:cs="Times New Roman"/>
          <w:snapToGrid w:val="0"/>
          <w:color w:val="000000"/>
          <w:kern w:val="0"/>
          <w:sz w:val="44"/>
          <w:szCs w:val="44"/>
        </w:rPr>
        <w:t>2026年湖北省中小企业技术中心申报推荐汇总表</w:t>
      </w:r>
      <w:bookmarkEnd w:id="2"/>
    </w:p>
    <w:p w14:paraId="6C3C76F2">
      <w:pPr>
        <w:widowControl/>
        <w:kinsoku w:val="0"/>
        <w:autoSpaceDE w:val="0"/>
        <w:autoSpaceDN w:val="0"/>
        <w:adjustRightInd w:val="0"/>
        <w:snapToGrid w:val="0"/>
        <w:spacing w:before="199" w:line="360" w:lineRule="auto"/>
        <w:ind w:firstLine="568" w:firstLineChars="200"/>
        <w:jc w:val="left"/>
        <w:textAlignment w:val="baseline"/>
        <w:rPr>
          <w:rFonts w:ascii="Times New Roman" w:hAnsi="Times New Roman" w:eastAsia="仿宋" w:cs="Times New Roman"/>
          <w:snapToGrid w:val="0"/>
          <w:color w:val="000000"/>
          <w:kern w:val="0"/>
          <w:sz w:val="28"/>
          <w:szCs w:val="28"/>
        </w:rPr>
      </w:pPr>
      <w:r>
        <w:rPr>
          <w:rFonts w:ascii="Times New Roman" w:hAnsi="Times New Roman" w:eastAsia="仿宋" w:cs="Times New Roman"/>
          <w:snapToGrid w:val="0"/>
          <w:color w:val="000000"/>
          <w:spacing w:val="2"/>
          <w:kern w:val="0"/>
          <w:sz w:val="28"/>
          <w:szCs w:val="28"/>
        </w:rPr>
        <w:t>推荐单位(盖章)</w:t>
      </w:r>
      <w:r>
        <w:rPr>
          <w:rFonts w:hint="eastAsia" w:eastAsia="仿宋" w:cs="Times New Roman"/>
          <w:snapToGrid w:val="0"/>
          <w:color w:val="000000"/>
          <w:spacing w:val="2"/>
          <w:kern w:val="0"/>
          <w:sz w:val="28"/>
          <w:szCs w:val="28"/>
          <w:lang w:eastAsia="zh-CN"/>
        </w:rPr>
        <w:t>：</w:t>
      </w:r>
      <w:r>
        <w:rPr>
          <w:rFonts w:hint="eastAsia" w:eastAsia="仿宋" w:cs="Times New Roman"/>
          <w:snapToGrid w:val="0"/>
          <w:color w:val="000000"/>
          <w:spacing w:val="2"/>
          <w:kern w:val="0"/>
          <w:sz w:val="28"/>
          <w:szCs w:val="28"/>
          <w:lang w:val="en-US" w:eastAsia="zh-CN"/>
        </w:rPr>
        <w:t xml:space="preserve">      区经信局</w:t>
      </w:r>
      <w:r>
        <w:rPr>
          <w:rFonts w:ascii="Times New Roman" w:hAnsi="Times New Roman" w:eastAsia="仿宋" w:cs="Times New Roman"/>
          <w:snapToGrid w:val="0"/>
          <w:color w:val="000000"/>
          <w:spacing w:val="1"/>
          <w:kern w:val="0"/>
          <w:sz w:val="28"/>
          <w:szCs w:val="28"/>
        </w:rPr>
        <w:t xml:space="preserve">                      </w:t>
      </w:r>
      <w:r>
        <w:rPr>
          <w:rFonts w:ascii="Times New Roman" w:hAnsi="Times New Roman" w:eastAsia="仿宋" w:cs="Times New Roman"/>
          <w:snapToGrid w:val="0"/>
          <w:color w:val="000000"/>
          <w:kern w:val="0"/>
          <w:sz w:val="28"/>
          <w:szCs w:val="28"/>
        </w:rPr>
        <w:t xml:space="preserve">        </w:t>
      </w:r>
      <w:r>
        <w:rPr>
          <w:rFonts w:hint="eastAsia" w:eastAsia="仿宋" w:cs="Times New Roman"/>
          <w:snapToGrid w:val="0"/>
          <w:color w:val="000000"/>
          <w:kern w:val="0"/>
          <w:sz w:val="28"/>
          <w:szCs w:val="28"/>
          <w:lang w:val="en-US" w:eastAsia="zh-CN"/>
        </w:rPr>
        <w:t xml:space="preserve">             </w:t>
      </w:r>
      <w:r>
        <w:rPr>
          <w:rFonts w:ascii="Times New Roman" w:hAnsi="Times New Roman" w:eastAsia="仿宋" w:cs="Times New Roman"/>
          <w:snapToGrid w:val="0"/>
          <w:color w:val="000000"/>
          <w:spacing w:val="2"/>
          <w:kern w:val="0"/>
          <w:position w:val="-1"/>
          <w:sz w:val="28"/>
          <w:szCs w:val="28"/>
        </w:rPr>
        <w:t>时间：20</w:t>
      </w:r>
      <w:r>
        <w:rPr>
          <w:rFonts w:ascii="Times New Roman" w:hAnsi="Times New Roman" w:eastAsia="仿宋" w:cs="Times New Roman"/>
          <w:snapToGrid w:val="0"/>
          <w:color w:val="000000"/>
          <w:spacing w:val="1"/>
          <w:kern w:val="0"/>
          <w:position w:val="-1"/>
          <w:sz w:val="28"/>
          <w:szCs w:val="28"/>
        </w:rPr>
        <w:t>26年</w:t>
      </w:r>
      <w:r>
        <w:rPr>
          <w:rFonts w:ascii="Times New Roman" w:hAnsi="Times New Roman" w:eastAsia="仿宋" w:cs="Times New Roman"/>
          <w:snapToGrid w:val="0"/>
          <w:color w:val="000000"/>
          <w:spacing w:val="41"/>
          <w:kern w:val="0"/>
          <w:position w:val="-1"/>
          <w:sz w:val="28"/>
          <w:szCs w:val="28"/>
        </w:rPr>
        <w:t>X</w:t>
      </w:r>
      <w:r>
        <w:rPr>
          <w:rFonts w:ascii="Times New Roman" w:hAnsi="Times New Roman" w:eastAsia="仿宋" w:cs="Times New Roman"/>
          <w:snapToGrid w:val="0"/>
          <w:color w:val="000000"/>
          <w:spacing w:val="1"/>
          <w:kern w:val="0"/>
          <w:position w:val="-1"/>
          <w:sz w:val="28"/>
          <w:szCs w:val="28"/>
        </w:rPr>
        <w:t>月</w:t>
      </w:r>
      <w:bookmarkStart w:id="0" w:name="OLE_LINK12"/>
      <w:bookmarkStart w:id="1" w:name="OLE_LINK11"/>
      <w:r>
        <w:rPr>
          <w:rFonts w:ascii="Times New Roman" w:hAnsi="Times New Roman" w:eastAsia="仿宋" w:cs="Times New Roman"/>
          <w:snapToGrid w:val="0"/>
          <w:color w:val="000000"/>
          <w:spacing w:val="41"/>
          <w:kern w:val="0"/>
          <w:position w:val="-1"/>
          <w:sz w:val="28"/>
          <w:szCs w:val="28"/>
        </w:rPr>
        <w:t>X</w:t>
      </w:r>
      <w:bookmarkEnd w:id="0"/>
      <w:bookmarkEnd w:id="1"/>
      <w:r>
        <w:rPr>
          <w:rFonts w:ascii="Times New Roman" w:hAnsi="Times New Roman" w:eastAsia="仿宋" w:cs="Times New Roman"/>
          <w:snapToGrid w:val="0"/>
          <w:color w:val="000000"/>
          <w:spacing w:val="1"/>
          <w:kern w:val="0"/>
          <w:position w:val="-1"/>
          <w:sz w:val="28"/>
          <w:szCs w:val="28"/>
        </w:rPr>
        <w:t>日</w:t>
      </w:r>
    </w:p>
    <w:tbl>
      <w:tblPr>
        <w:tblStyle w:val="5"/>
        <w:tblW w:w="15026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09"/>
        <w:gridCol w:w="1271"/>
        <w:gridCol w:w="1134"/>
        <w:gridCol w:w="1701"/>
        <w:gridCol w:w="851"/>
        <w:gridCol w:w="850"/>
        <w:gridCol w:w="567"/>
        <w:gridCol w:w="851"/>
        <w:gridCol w:w="850"/>
        <w:gridCol w:w="851"/>
        <w:gridCol w:w="850"/>
        <w:gridCol w:w="1276"/>
        <w:gridCol w:w="1134"/>
        <w:gridCol w:w="1134"/>
        <w:gridCol w:w="997"/>
      </w:tblGrid>
      <w:tr w14:paraId="634F1A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2" w:hRule="atLeast"/>
          <w:jc w:val="center"/>
        </w:trPr>
        <w:tc>
          <w:tcPr>
            <w:tcW w:w="709" w:type="dxa"/>
            <w:vMerge w:val="restart"/>
            <w:tcBorders>
              <w:bottom w:val="nil"/>
            </w:tcBorders>
            <w:textDirection w:val="tbRlV"/>
            <w:vAlign w:val="center"/>
          </w:tcPr>
          <w:p w14:paraId="66AC22C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  <w:t>序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  <w:t xml:space="preserve"> 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  <w:t>号</w:t>
            </w:r>
          </w:p>
        </w:tc>
        <w:tc>
          <w:tcPr>
            <w:tcW w:w="1271" w:type="dxa"/>
            <w:vMerge w:val="restart"/>
            <w:tcBorders>
              <w:bottom w:val="nil"/>
            </w:tcBorders>
            <w:vAlign w:val="center"/>
          </w:tcPr>
          <w:p w14:paraId="74BF896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  <w:lang w:eastAsia="en-US"/>
              </w:rPr>
              <w:t>申报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企业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全称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7307357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申报企业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的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技术中心成立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</w:rPr>
              <w:t>的时间</w:t>
            </w:r>
          </w:p>
          <w:p w14:paraId="769A282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</w:rPr>
              <w:t>(年月)</w:t>
            </w:r>
          </w:p>
        </w:tc>
        <w:tc>
          <w:tcPr>
            <w:tcW w:w="1701" w:type="dxa"/>
            <w:vMerge w:val="restart"/>
            <w:tcBorders>
              <w:bottom w:val="nil"/>
            </w:tcBorders>
            <w:vAlign w:val="center"/>
          </w:tcPr>
          <w:p w14:paraId="13038D55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申报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企业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2"/>
                <w:kern w:val="0"/>
                <w:sz w:val="20"/>
                <w:szCs w:val="21"/>
              </w:rPr>
              <w:t>主营业务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3"/>
                <w:kern w:val="0"/>
                <w:sz w:val="20"/>
                <w:szCs w:val="21"/>
              </w:rPr>
              <w:t>所属行业</w:t>
            </w:r>
          </w:p>
          <w:p w14:paraId="0A51A0AB">
            <w:pPr>
              <w:kinsoku w:val="0"/>
              <w:wordWrap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代码与名称</w:t>
            </w:r>
          </w:p>
        </w:tc>
        <w:tc>
          <w:tcPr>
            <w:tcW w:w="2268" w:type="dxa"/>
            <w:gridSpan w:val="3"/>
            <w:vAlign w:val="center"/>
          </w:tcPr>
          <w:p w14:paraId="788D68B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2025年度财务审计报告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  <w:t>《利润表》中的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1"/>
                <w:kern w:val="0"/>
                <w:sz w:val="20"/>
                <w:szCs w:val="21"/>
              </w:rPr>
              <w:t>2025年度营业收入</w:t>
            </w:r>
          </w:p>
        </w:tc>
        <w:tc>
          <w:tcPr>
            <w:tcW w:w="1701" w:type="dxa"/>
            <w:gridSpan w:val="2"/>
            <w:vAlign w:val="center"/>
          </w:tcPr>
          <w:p w14:paraId="63F7B90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2025年度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0"/>
                <w:szCs w:val="21"/>
              </w:rPr>
              <w:t>财务审计报告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  <w:t>《利润表》中的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0"/>
                <w:szCs w:val="21"/>
              </w:rPr>
              <w:t>2025年度研发费用</w:t>
            </w:r>
          </w:p>
        </w:tc>
        <w:tc>
          <w:tcPr>
            <w:tcW w:w="1701" w:type="dxa"/>
            <w:gridSpan w:val="2"/>
            <w:vAlign w:val="center"/>
          </w:tcPr>
          <w:p w14:paraId="31814AE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</w:rPr>
              <w:t>当前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0"/>
                <w:szCs w:val="21"/>
              </w:rPr>
              <w:t>企业内部的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</w:rPr>
              <w:t>研发人员</w:t>
            </w:r>
          </w:p>
        </w:tc>
        <w:tc>
          <w:tcPr>
            <w:tcW w:w="1276" w:type="dxa"/>
            <w:vMerge w:val="restart"/>
            <w:tcBorders>
              <w:bottom w:val="nil"/>
            </w:tcBorders>
            <w:vAlign w:val="center"/>
          </w:tcPr>
          <w:p w14:paraId="4824780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本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企业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自购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</w:rPr>
              <w:t>且当前专用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于技术开发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"/>
                <w:kern w:val="0"/>
                <w:sz w:val="20"/>
                <w:szCs w:val="21"/>
              </w:rPr>
              <w:t>的仪器设备的原值总额</w:t>
            </w:r>
          </w:p>
          <w:p w14:paraId="3A1EAAF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</w:rPr>
              <w:t>(万元)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4592C06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本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企业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当前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0"/>
                <w:szCs w:val="21"/>
              </w:rPr>
              <w:t>拥有</w:t>
            </w: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0"/>
                <w:szCs w:val="21"/>
              </w:rPr>
              <w:t>自主申请的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6"/>
                <w:kern w:val="0"/>
                <w:sz w:val="20"/>
                <w:szCs w:val="21"/>
              </w:rPr>
              <w:t>有效I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类知识产权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</w:rPr>
              <w:t>数</w:t>
            </w:r>
          </w:p>
          <w:p w14:paraId="29ECA32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</w:rPr>
              <w:t>(件)</w:t>
            </w:r>
          </w:p>
        </w:tc>
        <w:tc>
          <w:tcPr>
            <w:tcW w:w="1134" w:type="dxa"/>
            <w:vMerge w:val="restart"/>
            <w:tcBorders>
              <w:bottom w:val="nil"/>
            </w:tcBorders>
            <w:vAlign w:val="center"/>
          </w:tcPr>
          <w:p w14:paraId="763C310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</w:rPr>
              <w:t>是/否</w:t>
            </w:r>
          </w:p>
          <w:p w14:paraId="7E3127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完全符合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"/>
                <w:kern w:val="0"/>
                <w:sz w:val="20"/>
                <w:szCs w:val="21"/>
              </w:rPr>
              <w:t>申报条件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和相关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  <w:t>要求</w:t>
            </w:r>
          </w:p>
        </w:tc>
        <w:tc>
          <w:tcPr>
            <w:tcW w:w="997" w:type="dxa"/>
            <w:vMerge w:val="restart"/>
            <w:tcBorders>
              <w:bottom w:val="nil"/>
            </w:tcBorders>
            <w:vAlign w:val="center"/>
          </w:tcPr>
          <w:p w14:paraId="3EB67A7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备注</w:t>
            </w:r>
          </w:p>
          <w:p w14:paraId="79844B7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3"/>
                <w:kern w:val="0"/>
                <w:sz w:val="20"/>
                <w:szCs w:val="21"/>
                <w:lang w:eastAsia="en-US"/>
              </w:rPr>
              <w:t>(联系人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1"/>
                <w:kern w:val="0"/>
                <w:sz w:val="20"/>
                <w:szCs w:val="21"/>
                <w:lang w:eastAsia="en-US"/>
              </w:rPr>
              <w:t>及电话)</w:t>
            </w:r>
          </w:p>
        </w:tc>
      </w:tr>
      <w:tr w14:paraId="400A778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8" w:hRule="atLeast"/>
          <w:jc w:val="center"/>
        </w:trPr>
        <w:tc>
          <w:tcPr>
            <w:tcW w:w="709" w:type="dxa"/>
            <w:vMerge w:val="continue"/>
            <w:tcBorders>
              <w:top w:val="nil"/>
            </w:tcBorders>
            <w:textDirection w:val="tbRlV"/>
            <w:vAlign w:val="center"/>
          </w:tcPr>
          <w:p w14:paraId="6CC0073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71" w:type="dxa"/>
            <w:vMerge w:val="continue"/>
            <w:tcBorders>
              <w:top w:val="nil"/>
            </w:tcBorders>
            <w:vAlign w:val="center"/>
          </w:tcPr>
          <w:p w14:paraId="1DE0A53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4E2DF9E1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701" w:type="dxa"/>
            <w:vMerge w:val="continue"/>
            <w:tcBorders>
              <w:top w:val="nil"/>
            </w:tcBorders>
            <w:vAlign w:val="center"/>
          </w:tcPr>
          <w:p w14:paraId="54D8059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7E5BCF1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7"/>
                <w:kern w:val="0"/>
                <w:sz w:val="20"/>
                <w:szCs w:val="21"/>
                <w:lang w:eastAsia="en-US"/>
              </w:rPr>
              <w:t>营业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4"/>
                <w:w w:val="118"/>
                <w:kern w:val="0"/>
                <w:sz w:val="20"/>
                <w:szCs w:val="21"/>
                <w:lang w:eastAsia="en-US"/>
              </w:rPr>
              <w:t>收入</w:t>
            </w:r>
          </w:p>
          <w:p w14:paraId="23259A80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  <w:lang w:eastAsia="en-US"/>
              </w:rPr>
              <w:t>(万元)</w:t>
            </w:r>
          </w:p>
        </w:tc>
        <w:tc>
          <w:tcPr>
            <w:tcW w:w="850" w:type="dxa"/>
            <w:vAlign w:val="center"/>
          </w:tcPr>
          <w:p w14:paraId="74A4E9D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  <w:lang w:eastAsia="en-US"/>
              </w:rPr>
              <w:t>主营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  <w:lang w:eastAsia="en-US"/>
              </w:rPr>
              <w:t>收入</w:t>
            </w:r>
          </w:p>
          <w:p w14:paraId="75AC49B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  <w:lang w:eastAsia="en-US"/>
              </w:rPr>
              <w:t>(万元)</w:t>
            </w:r>
          </w:p>
        </w:tc>
        <w:tc>
          <w:tcPr>
            <w:tcW w:w="567" w:type="dxa"/>
            <w:vAlign w:val="center"/>
          </w:tcPr>
          <w:p w14:paraId="6D95566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5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  <w:lang w:eastAsia="en-US"/>
              </w:rPr>
              <w:t>主营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5"/>
                <w:kern w:val="0"/>
                <w:sz w:val="20"/>
                <w:szCs w:val="21"/>
                <w:lang w:eastAsia="en-US"/>
              </w:rPr>
              <w:t>占比</w:t>
            </w:r>
          </w:p>
          <w:p w14:paraId="151FEA83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3"/>
                <w:kern w:val="0"/>
                <w:sz w:val="20"/>
                <w:szCs w:val="21"/>
                <w:lang w:eastAsia="en-US"/>
              </w:rPr>
              <w:t>(%)</w:t>
            </w:r>
          </w:p>
        </w:tc>
        <w:tc>
          <w:tcPr>
            <w:tcW w:w="851" w:type="dxa"/>
            <w:vAlign w:val="center"/>
          </w:tcPr>
          <w:p w14:paraId="04744F4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支出额</w:t>
            </w:r>
          </w:p>
          <w:p w14:paraId="7D12064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0"/>
                <w:kern w:val="0"/>
                <w:sz w:val="20"/>
                <w:szCs w:val="21"/>
                <w:lang w:eastAsia="en-US"/>
              </w:rPr>
              <w:t>(万元)</w:t>
            </w:r>
          </w:p>
        </w:tc>
        <w:tc>
          <w:tcPr>
            <w:tcW w:w="850" w:type="dxa"/>
            <w:vAlign w:val="center"/>
          </w:tcPr>
          <w:p w14:paraId="3788719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11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  <w:lang w:eastAsia="en-US"/>
              </w:rPr>
              <w:t>占主营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9"/>
                <w:kern w:val="0"/>
                <w:sz w:val="20"/>
                <w:szCs w:val="21"/>
                <w:lang w:eastAsia="en-US"/>
              </w:rPr>
              <w:t>收入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1"/>
                <w:kern w:val="0"/>
                <w:sz w:val="20"/>
                <w:szCs w:val="21"/>
                <w:lang w:eastAsia="en-US"/>
              </w:rPr>
              <w:t>比</w:t>
            </w:r>
          </w:p>
          <w:p w14:paraId="087AA1E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1"/>
                <w:kern w:val="0"/>
                <w:sz w:val="20"/>
                <w:szCs w:val="21"/>
                <w:lang w:eastAsia="en-US"/>
              </w:rPr>
              <w:t>(%)</w:t>
            </w:r>
          </w:p>
        </w:tc>
        <w:tc>
          <w:tcPr>
            <w:tcW w:w="851" w:type="dxa"/>
            <w:vAlign w:val="center"/>
          </w:tcPr>
          <w:p w14:paraId="63A29C12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4"/>
                <w:kern w:val="0"/>
                <w:sz w:val="20"/>
                <w:szCs w:val="21"/>
                <w:lang w:eastAsia="en-US"/>
              </w:rPr>
              <w:t>研发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人员数</w:t>
            </w:r>
          </w:p>
          <w:p w14:paraId="704A475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3"/>
                <w:kern w:val="0"/>
                <w:sz w:val="20"/>
                <w:szCs w:val="21"/>
                <w:lang w:eastAsia="en-US"/>
              </w:rPr>
              <w:t>(人)</w:t>
            </w:r>
          </w:p>
        </w:tc>
        <w:tc>
          <w:tcPr>
            <w:tcW w:w="850" w:type="dxa"/>
            <w:vAlign w:val="center"/>
          </w:tcPr>
          <w:p w14:paraId="6CA0990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3"/>
                <w:kern w:val="0"/>
                <w:sz w:val="20"/>
                <w:szCs w:val="21"/>
                <w:lang w:eastAsia="en-US"/>
              </w:rPr>
              <w:t>占全部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职工数</w:t>
            </w: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21"/>
                <w:kern w:val="0"/>
                <w:sz w:val="20"/>
                <w:szCs w:val="21"/>
                <w:lang w:eastAsia="en-US"/>
              </w:rPr>
              <w:t>比(%)</w:t>
            </w:r>
          </w:p>
        </w:tc>
        <w:tc>
          <w:tcPr>
            <w:tcW w:w="1276" w:type="dxa"/>
            <w:vMerge w:val="continue"/>
            <w:tcBorders>
              <w:top w:val="nil"/>
            </w:tcBorders>
            <w:vAlign w:val="center"/>
          </w:tcPr>
          <w:p w14:paraId="681C2850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1B4385D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Merge w:val="continue"/>
            <w:tcBorders>
              <w:top w:val="nil"/>
            </w:tcBorders>
            <w:vAlign w:val="center"/>
          </w:tcPr>
          <w:p w14:paraId="0873525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7" w:type="dxa"/>
            <w:vMerge w:val="continue"/>
            <w:tcBorders>
              <w:top w:val="nil"/>
            </w:tcBorders>
            <w:vAlign w:val="center"/>
          </w:tcPr>
          <w:p w14:paraId="4B2AB264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0030A1F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9" w:hRule="atLeast"/>
          <w:jc w:val="center"/>
        </w:trPr>
        <w:tc>
          <w:tcPr>
            <w:tcW w:w="709" w:type="dxa"/>
            <w:vAlign w:val="center"/>
          </w:tcPr>
          <w:p w14:paraId="6C99322A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7"/>
                <w:kern w:val="0"/>
                <w:sz w:val="20"/>
                <w:szCs w:val="21"/>
                <w:lang w:eastAsia="en-US"/>
              </w:rPr>
              <w:t>例1</w:t>
            </w:r>
          </w:p>
        </w:tc>
        <w:tc>
          <w:tcPr>
            <w:tcW w:w="1271" w:type="dxa"/>
            <w:vAlign w:val="center"/>
          </w:tcPr>
          <w:p w14:paraId="4C265C3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  <w:lang w:eastAsia="en-US"/>
              </w:rPr>
              <w:t>**公司</w:t>
            </w:r>
          </w:p>
        </w:tc>
        <w:tc>
          <w:tcPr>
            <w:tcW w:w="1134" w:type="dxa"/>
            <w:vAlign w:val="center"/>
          </w:tcPr>
          <w:p w14:paraId="76AC4D4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4"/>
                <w:kern w:val="0"/>
                <w:sz w:val="20"/>
                <w:szCs w:val="21"/>
                <w:lang w:eastAsia="en-US"/>
              </w:rPr>
              <w:t>**年**月</w:t>
            </w:r>
          </w:p>
        </w:tc>
        <w:tc>
          <w:tcPr>
            <w:tcW w:w="1701" w:type="dxa"/>
            <w:vAlign w:val="center"/>
          </w:tcPr>
          <w:p w14:paraId="4B1D3F1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</w:rPr>
              <w:t>3670</w:t>
            </w:r>
          </w:p>
          <w:p w14:paraId="3C0AF681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汽车零部件及</w:t>
            </w:r>
          </w:p>
          <w:p w14:paraId="0B9F8A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</w:rPr>
              <w:t>配件制造</w:t>
            </w:r>
          </w:p>
        </w:tc>
        <w:tc>
          <w:tcPr>
            <w:tcW w:w="851" w:type="dxa"/>
            <w:vAlign w:val="center"/>
          </w:tcPr>
          <w:p w14:paraId="029DCA4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8966.5</w:t>
            </w:r>
          </w:p>
        </w:tc>
        <w:tc>
          <w:tcPr>
            <w:tcW w:w="850" w:type="dxa"/>
            <w:vAlign w:val="center"/>
          </w:tcPr>
          <w:p w14:paraId="7A6692E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7022.0</w:t>
            </w:r>
          </w:p>
        </w:tc>
        <w:tc>
          <w:tcPr>
            <w:tcW w:w="567" w:type="dxa"/>
            <w:vAlign w:val="center"/>
          </w:tcPr>
          <w:p w14:paraId="4C1FC60C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78.3</w:t>
            </w:r>
          </w:p>
        </w:tc>
        <w:tc>
          <w:tcPr>
            <w:tcW w:w="851" w:type="dxa"/>
            <w:vAlign w:val="center"/>
          </w:tcPr>
          <w:p w14:paraId="79FDA86D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462.7</w:t>
            </w:r>
          </w:p>
        </w:tc>
        <w:tc>
          <w:tcPr>
            <w:tcW w:w="850" w:type="dxa"/>
            <w:vAlign w:val="center"/>
          </w:tcPr>
          <w:p w14:paraId="1333574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5.8</w:t>
            </w:r>
          </w:p>
        </w:tc>
        <w:tc>
          <w:tcPr>
            <w:tcW w:w="851" w:type="dxa"/>
            <w:vAlign w:val="center"/>
          </w:tcPr>
          <w:p w14:paraId="33A83E6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3"/>
                <w:kern w:val="0"/>
                <w:sz w:val="20"/>
                <w:szCs w:val="21"/>
                <w:lang w:eastAsia="en-US"/>
              </w:rPr>
              <w:t>34</w:t>
            </w:r>
          </w:p>
        </w:tc>
        <w:tc>
          <w:tcPr>
            <w:tcW w:w="850" w:type="dxa"/>
            <w:vAlign w:val="center"/>
          </w:tcPr>
          <w:p w14:paraId="586E8F58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5"/>
                <w:kern w:val="0"/>
                <w:sz w:val="20"/>
                <w:szCs w:val="21"/>
                <w:lang w:eastAsia="en-US"/>
              </w:rPr>
              <w:t>12.5</w:t>
            </w:r>
          </w:p>
        </w:tc>
        <w:tc>
          <w:tcPr>
            <w:tcW w:w="1276" w:type="dxa"/>
            <w:vAlign w:val="center"/>
          </w:tcPr>
          <w:p w14:paraId="247DF6F7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563.6</w:t>
            </w:r>
          </w:p>
        </w:tc>
        <w:tc>
          <w:tcPr>
            <w:tcW w:w="1134" w:type="dxa"/>
            <w:vAlign w:val="center"/>
          </w:tcPr>
          <w:p w14:paraId="0F782CF6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1134" w:type="dxa"/>
            <w:vAlign w:val="center"/>
          </w:tcPr>
          <w:p w14:paraId="10619AEF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6"/>
                <w:kern w:val="0"/>
                <w:sz w:val="20"/>
                <w:szCs w:val="21"/>
                <w:lang w:eastAsia="en-US"/>
              </w:rPr>
              <w:t>是/否</w:t>
            </w:r>
          </w:p>
        </w:tc>
        <w:tc>
          <w:tcPr>
            <w:tcW w:w="997" w:type="dxa"/>
            <w:vAlign w:val="center"/>
          </w:tcPr>
          <w:p w14:paraId="0B8173D5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13"/>
                <w:kern w:val="0"/>
                <w:sz w:val="20"/>
                <w:szCs w:val="21"/>
                <w:lang w:eastAsia="en-US"/>
              </w:rPr>
              <w:t>李**,</w:t>
            </w:r>
          </w:p>
          <w:p w14:paraId="00455DEB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  <w:r>
              <w:rPr>
                <w:rFonts w:ascii="Times New Roman" w:hAnsi="Times New Roman" w:eastAsia="仿宋" w:cs="Times New Roman"/>
                <w:snapToGrid w:val="0"/>
                <w:color w:val="000000"/>
                <w:spacing w:val="-2"/>
                <w:kern w:val="0"/>
                <w:sz w:val="20"/>
                <w:szCs w:val="21"/>
                <w:lang w:eastAsia="en-US"/>
              </w:rPr>
              <w:t>139********</w:t>
            </w:r>
          </w:p>
        </w:tc>
      </w:tr>
      <w:tr w14:paraId="4CCDA32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  <w:jc w:val="center"/>
        </w:trPr>
        <w:tc>
          <w:tcPr>
            <w:tcW w:w="709" w:type="dxa"/>
            <w:vAlign w:val="center"/>
          </w:tcPr>
          <w:p w14:paraId="64C15C6A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71" w:type="dxa"/>
            <w:vAlign w:val="center"/>
          </w:tcPr>
          <w:p w14:paraId="690329C2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3965D4D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701" w:type="dxa"/>
            <w:vAlign w:val="center"/>
          </w:tcPr>
          <w:p w14:paraId="12A2FC0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11AB235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D7753B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567" w:type="dxa"/>
            <w:vAlign w:val="center"/>
          </w:tcPr>
          <w:p w14:paraId="15D3532C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672A81BE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64C0502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1" w:type="dxa"/>
            <w:vAlign w:val="center"/>
          </w:tcPr>
          <w:p w14:paraId="40CFEB3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850" w:type="dxa"/>
            <w:vAlign w:val="center"/>
          </w:tcPr>
          <w:p w14:paraId="037F9146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276" w:type="dxa"/>
            <w:vAlign w:val="center"/>
          </w:tcPr>
          <w:p w14:paraId="4FF4DA4F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7F67E528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34" w:type="dxa"/>
            <w:vAlign w:val="center"/>
          </w:tcPr>
          <w:p w14:paraId="4FCF3547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  <w:p w14:paraId="5B3BC779">
            <w:pPr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7" w:type="dxa"/>
            <w:vAlign w:val="center"/>
          </w:tcPr>
          <w:p w14:paraId="1F604F44">
            <w:pPr>
              <w:widowControl/>
              <w:kinsoku w:val="0"/>
              <w:overflowPunct w:val="0"/>
              <w:autoSpaceDE w:val="0"/>
              <w:autoSpaceDN w:val="0"/>
              <w:adjustRightInd w:val="0"/>
              <w:snapToGrid w:val="0"/>
              <w:jc w:val="center"/>
              <w:textAlignment w:val="baseline"/>
              <w:rPr>
                <w:rFonts w:ascii="Times New Roman" w:hAnsi="Times New Roman" w:eastAsia="仿宋" w:cs="Times New Roman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</w:tbl>
    <w:p w14:paraId="5D655D5D">
      <w:pPr>
        <w:widowControl/>
        <w:kinsoku w:val="0"/>
        <w:autoSpaceDE w:val="0"/>
        <w:autoSpaceDN w:val="0"/>
        <w:adjustRightInd w:val="0"/>
        <w:snapToGrid w:val="0"/>
        <w:spacing w:before="55" w:line="360" w:lineRule="auto"/>
        <w:ind w:firstLine="400" w:firstLineChars="200"/>
        <w:jc w:val="left"/>
        <w:textAlignment w:val="baseline"/>
      </w:pPr>
      <w:r>
        <w:rPr>
          <w:rFonts w:ascii="Times New Roman" w:hAnsi="Times New Roman" w:eastAsia="仿宋" w:cs="Times New Roman"/>
          <w:snapToGrid w:val="0"/>
          <w:color w:val="000000"/>
          <w:spacing w:val="10"/>
          <w:kern w:val="0"/>
          <w:sz w:val="18"/>
          <w:szCs w:val="18"/>
        </w:rPr>
        <w:t>*本表先由申报</w:t>
      </w:r>
      <w:r>
        <w:rPr>
          <w:rFonts w:hint="eastAsia" w:ascii="Times New Roman" w:hAnsi="Times New Roman" w:eastAsia="仿宋" w:cs="Times New Roman"/>
          <w:snapToGrid w:val="0"/>
          <w:color w:val="000000"/>
          <w:spacing w:val="10"/>
          <w:kern w:val="0"/>
          <w:sz w:val="18"/>
          <w:szCs w:val="18"/>
        </w:rPr>
        <w:t>企业</w:t>
      </w:r>
      <w:r>
        <w:rPr>
          <w:rFonts w:ascii="Times New Roman" w:hAnsi="Times New Roman" w:eastAsia="仿宋" w:cs="Times New Roman"/>
          <w:snapToGrid w:val="0"/>
          <w:color w:val="000000"/>
          <w:spacing w:val="10"/>
          <w:kern w:val="0"/>
          <w:sz w:val="18"/>
          <w:szCs w:val="18"/>
        </w:rPr>
        <w:t>如实填报，纸质和电子文件交</w:t>
      </w:r>
      <w:r>
        <w:rPr>
          <w:rFonts w:hint="eastAsia" w:eastAsia="仿宋" w:cs="Times New Roman"/>
          <w:snapToGrid w:val="0"/>
          <w:color w:val="000000"/>
          <w:spacing w:val="10"/>
          <w:kern w:val="0"/>
          <w:sz w:val="18"/>
          <w:szCs w:val="18"/>
          <w:lang w:val="en-US" w:eastAsia="zh-CN"/>
        </w:rPr>
        <w:t>区</w:t>
      </w:r>
      <w:r>
        <w:rPr>
          <w:rFonts w:ascii="Times New Roman" w:hAnsi="Times New Roman" w:eastAsia="仿宋" w:cs="Times New Roman"/>
          <w:snapToGrid w:val="0"/>
          <w:color w:val="000000"/>
          <w:spacing w:val="10"/>
          <w:kern w:val="0"/>
          <w:sz w:val="18"/>
          <w:szCs w:val="18"/>
        </w:rPr>
        <w:t>经信部门审核汇总。</w:t>
      </w:r>
      <w:r>
        <w:rPr>
          <w:rFonts w:hint="eastAsia" w:eastAsia="仿宋" w:cs="Times New Roman"/>
          <w:snapToGrid w:val="0"/>
          <w:color w:val="000000"/>
          <w:spacing w:val="10"/>
          <w:kern w:val="0"/>
          <w:sz w:val="18"/>
          <w:szCs w:val="18"/>
          <w:lang w:val="en-US" w:eastAsia="zh-CN"/>
        </w:rPr>
        <w:t>区</w:t>
      </w:r>
      <w:r>
        <w:rPr>
          <w:rFonts w:ascii="Times New Roman" w:hAnsi="Times New Roman" w:eastAsia="仿宋" w:cs="Times New Roman"/>
          <w:snapToGrid w:val="0"/>
          <w:color w:val="000000"/>
          <w:spacing w:val="10"/>
          <w:kern w:val="0"/>
          <w:sz w:val="18"/>
          <w:szCs w:val="18"/>
        </w:rPr>
        <w:t>经信部门行文只推荐符合申报条件和相关要求的企业</w:t>
      </w:r>
    </w:p>
    <w:sectPr>
      <w:footerReference r:id="rId3" w:type="default"/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1" w:fontKey="{628A5C4E-F688-4B46-8151-8D3DA769A8A3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BA51D8C7-6433-42BF-8E4F-C7492EC10C2C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F8F88A4-5B8C-4E57-9AC5-60F7DBCAFD1F}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7C47BF0">
    <w:pPr>
      <w:pStyle w:val="2"/>
      <w:jc w:val="center"/>
      <w:rPr>
        <w:rFonts w:hint="eastAsia"/>
      </w:rPr>
    </w:pPr>
  </w:p>
  <w:p w14:paraId="5D2C2A61">
    <w:pPr>
      <w:pStyle w:val="2"/>
      <w:rPr>
        <w:rFonts w:hint="eastAsia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99411DB"/>
    <w:rsid w:val="499411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仿宋_GB2312"/>
      <w:kern w:val="2"/>
      <w:sz w:val="32"/>
      <w:szCs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customStyle="1" w:styleId="5">
    <w:name w:val="Table Normal"/>
    <w:semiHidden/>
    <w:unhideWhenUsed/>
    <w:qFormat/>
    <w:uiPriority w:val="0"/>
    <w:rPr>
      <w:kern w:val="0"/>
      <w:sz w:val="20"/>
      <w:szCs w:val="20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2026-01-18T04:01:00Z</dcterms:created>
  <dc:creator>MANDY</dc:creator>
  <cp:lastModifiedBy>MANDY</cp:lastModifiedBy>
  <dcterms:modified xsi:type="dcterms:W3CDTF">2026-01-18T04:02:40Z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8ACA512D6A414AB88FA3175CC5DE5F9B_11</vt:lpwstr>
  </property>
  <property fmtid="{D5CDD505-2E9C-101B-9397-08002B2CF9AE}" pid="4" name="KSOTemplateDocerSaveRecord">
    <vt:lpwstr>eyJoZGlkIjoiMzRmZTk2ODlkOWQ2ZDE5YjQ0YzIyMjhkMjQ2MGMwMGMiLCJ1c2VySWQiOiIyNzg0MDY2MjcifQ==</vt:lpwstr>
  </property>
</Properties>
</file>